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______/2025. 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/>
          <w:bCs/>
          <w:sz w:val="20"/>
          <w:szCs w:val="20"/>
        </w:rPr>
        <w:t xml:space="preserve">Contratação </w:t>
      </w:r>
      <w:r>
        <w:rPr>
          <w:rFonts w:eastAsia="Arial" w:cs="Times New Roman" w:ascii="Verdana" w:hAnsi="Verdana"/>
          <w:b/>
          <w:sz w:val="20"/>
          <w:szCs w:val="20"/>
        </w:rPr>
        <w:t>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2. LOCAL DE ENTREGA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Os serviços serão executados na empresa autorizada.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27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99752-5596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transportesemedsgp@gmail.com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Educação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 w:cstheme="minorHAns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5.1. </w:t>
      </w:r>
      <w:r>
        <w:rPr>
          <w:rFonts w:cs="Times New Roman" w:ascii="Verdana" w:hAnsi="Verdana"/>
          <w:b w:val="false"/>
          <w:bCs w:val="false"/>
          <w:sz w:val="20"/>
          <w:szCs w:val="20"/>
        </w:rPr>
        <w:t>O Cronotacógrafo é um instrumento de uso obrigatório pelo Código de Trânsito Brasileiro – CTB para veículos de transporte e de condução escolar, transporte de passageiros com mais de dez lugares e os de carga com peso bruto total superior a 4.536 toneladas;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5.2. 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</w:t>
      </w:r>
      <w:r>
        <w:rPr>
          <w:rFonts w:ascii="Verdana" w:hAnsi="Verdana"/>
          <w:bCs/>
          <w:sz w:val="20"/>
          <w:szCs w:val="20"/>
        </w:rPr>
        <w:t xml:space="preserve"> instrumento tem o objetivo de indicar e registrar a velocidade e a distância percorrida no tempo de direção no veículo em que está instalado, permitindo determinar o tempo de direção e de parada dos condutores, e, além disso, permite a reconstituição e a elaboração de laudos técnicos em caso de acidente com produção de provas aceitas legalmente;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5.3. </w:t>
      </w:r>
      <w:r>
        <w:rPr>
          <w:rFonts w:ascii="Verdana" w:hAnsi="Verdana"/>
          <w:bCs/>
          <w:sz w:val="20"/>
          <w:szCs w:val="20"/>
        </w:rPr>
        <w:t xml:space="preserve">Há a necessidade dos veículos 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da Secretaria de Educação,</w:t>
      </w:r>
      <w:r>
        <w:rPr>
          <w:rFonts w:ascii="Verdana" w:hAnsi="Verdana"/>
          <w:bCs/>
          <w:sz w:val="20"/>
          <w:szCs w:val="20"/>
        </w:rPr>
        <w:t xml:space="preserve"> desta Municipalidade, possuir o Certificado de Verificação do Cronotacógrafo que é feito junto a empresas credenciadas ao INMETRO, </w:t>
      </w:r>
      <w:r>
        <w:rPr>
          <w:rFonts w:ascii="Verdana" w:hAnsi="Verdana"/>
          <w:sz w:val="20"/>
          <w:szCs w:val="20"/>
        </w:rPr>
        <w:t xml:space="preserve">vez que os Certificados de Verificação dos referidos veículos têm prazo de validade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de dois anos</w:t>
      </w:r>
      <w:r>
        <w:rPr>
          <w:rFonts w:ascii="Verdana" w:hAnsi="Verdana"/>
          <w:sz w:val="20"/>
          <w:szCs w:val="20"/>
        </w:rPr>
        <w:t>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5.4. </w:t>
      </w:r>
      <w:r>
        <w:rPr>
          <w:rFonts w:ascii="Verdana" w:hAnsi="Verdana"/>
          <w:bCs/>
          <w:sz w:val="20"/>
          <w:szCs w:val="20"/>
        </w:rPr>
        <w:t>C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onsiderando</w:t>
      </w:r>
      <w:r>
        <w:rPr>
          <w:rFonts w:ascii="Verdana" w:hAnsi="Verdana"/>
          <w:bCs/>
          <w:sz w:val="20"/>
          <w:szCs w:val="20"/>
        </w:rPr>
        <w:t xml:space="preserve"> a eventual necessidade de manutenção no instrumento de tacógrafo dos veículo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s tipo ônibus.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5.5. 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Os</w:t>
      </w:r>
      <w:r>
        <w:rPr>
          <w:rFonts w:ascii="Verdana" w:hAnsi="Verdana"/>
          <w:bCs/>
          <w:sz w:val="20"/>
          <w:szCs w:val="20"/>
        </w:rPr>
        <w:t xml:space="preserve"> veículos que fazem o Transporte Escolar tem que estar em dia com a documentação, evitando assim sérios prejuízos a este município;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5.6. </w:t>
      </w:r>
      <w:r>
        <w:rPr>
          <w:rFonts w:ascii="Verdana" w:hAnsi="Verdana"/>
          <w:bCs/>
          <w:sz w:val="20"/>
          <w:szCs w:val="20"/>
        </w:rPr>
        <w:t>C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onsiderando</w:t>
      </w:r>
      <w:r>
        <w:rPr>
          <w:rFonts w:ascii="Verdana" w:hAnsi="Verdana"/>
          <w:bCs/>
          <w:sz w:val="20"/>
          <w:szCs w:val="20"/>
        </w:rPr>
        <w:t xml:space="preserve"> a Súmula nº 247 do Tribunal de Contas da União: “</w:t>
      </w:r>
      <w:r>
        <w:rPr>
          <w:rFonts w:ascii="Verdana" w:hAnsi="Verdana"/>
          <w:bCs/>
          <w:i/>
          <w:iCs/>
          <w:sz w:val="20"/>
          <w:szCs w:val="20"/>
        </w:rPr>
        <w:t>É obrigatória a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divisibilidade.”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5.7. </w:t>
      </w:r>
      <w:r>
        <w:rPr>
          <w:rFonts w:eastAsia="Arial" w:cs="Arial" w:ascii="Verdana" w:hAnsi="Verdana"/>
          <w:sz w:val="20"/>
          <w:szCs w:val="20"/>
        </w:rPr>
        <w:t>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5.8.</w:t>
      </w:r>
      <w:r>
        <w:rPr>
          <w:rFonts w:eastAsia="Arial" w:cs="Arial" w:ascii="Verdana" w:hAnsi="Verdana"/>
          <w:sz w:val="20"/>
          <w:szCs w:val="20"/>
        </w:rPr>
        <w:t xml:space="preserve"> A quantidade foi estimada com base na demanda </w:t>
      </w:r>
      <w:r>
        <w:rPr>
          <w:rFonts w:eastAsia="Arial" w:cs="Arial" w:ascii="Verdana" w:hAnsi="Verdana"/>
          <w:color w:val="auto"/>
          <w:kern w:val="0"/>
          <w:sz w:val="20"/>
          <w:szCs w:val="20"/>
          <w:lang w:val="pt-BR" w:eastAsia="zh-CN" w:bidi="ar-SA"/>
        </w:rPr>
        <w:t>da Secretaria de Educação.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5.9.</w:t>
      </w:r>
      <w:r>
        <w:rPr>
          <w:rFonts w:eastAsia="Arial" w:cs="Arial" w:ascii="Verdana" w:hAnsi="Verdana"/>
          <w:sz w:val="20"/>
          <w:szCs w:val="20"/>
        </w:rPr>
        <w:t xml:space="preserve"> 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76" w:before="57" w:after="57"/>
        <w:ind w:left="0" w:right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Educação.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7.1. </w:t>
      </w:r>
      <w:r>
        <w:rPr>
          <w:rFonts w:ascii="Verdana" w:hAnsi="Verdana"/>
          <w:sz w:val="20"/>
          <w:szCs w:val="20"/>
        </w:rPr>
        <w:t xml:space="preserve">A quantidade e descrição do objeto a que se refere este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Estudo Técnico Preliminar</w:t>
      </w:r>
      <w:r>
        <w:rPr>
          <w:rFonts w:ascii="Verdana" w:hAnsi="Verdana"/>
          <w:sz w:val="20"/>
          <w:szCs w:val="20"/>
        </w:rPr>
        <w:t xml:space="preserve"> estão descritos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no item 8.1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 </w:t>
      </w:r>
      <w:r>
        <w:rPr>
          <w:rFonts w:ascii="Verdana" w:hAnsi="Verdana"/>
          <w:sz w:val="20"/>
          <w:szCs w:val="20"/>
        </w:rPr>
        <w:t>Apresentar os documentos de cobrança, inclusive Nota Fiscal, com a descrição dos serviços realizados;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</w:t>
      </w:r>
      <w:r>
        <w:rPr>
          <w:rFonts w:ascii="Verdana" w:hAnsi="Verdana"/>
          <w:b/>
          <w:sz w:val="20"/>
          <w:szCs w:val="20"/>
        </w:rPr>
        <w:t xml:space="preserve">.3. </w:t>
      </w:r>
      <w:r>
        <w:rPr>
          <w:rFonts w:ascii="Verdana" w:hAnsi="Verdana"/>
          <w:sz w:val="20"/>
          <w:szCs w:val="20"/>
        </w:rPr>
        <w:t>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</w:t>
      </w:r>
      <w:r>
        <w:rPr>
          <w:rFonts w:ascii="Verdana" w:hAnsi="Verdana"/>
          <w:sz w:val="20"/>
          <w:szCs w:val="20"/>
        </w:rPr>
        <w:t xml:space="preserve"> Obriga-se a Contratada, mediante solicitação do Contratante, a orçar previamente eventual execução de serviços não cobertos pelo objeto do Contrato;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7.5.</w:t>
      </w:r>
      <w:r>
        <w:rPr>
          <w:rFonts w:ascii="Verdana" w:hAnsi="Verdana"/>
          <w:sz w:val="20"/>
          <w:szCs w:val="20"/>
        </w:rPr>
        <w:t xml:space="preserve"> Prover condições que possibilitem o atendimento dos serviços a partir da data da assinatura do contrato;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7.6.</w:t>
      </w:r>
      <w:r>
        <w:rPr>
          <w:rFonts w:ascii="Verdana" w:hAnsi="Verdana"/>
          <w:sz w:val="20"/>
          <w:szCs w:val="20"/>
        </w:rPr>
        <w:t xml:space="preserve"> Manter durante a vigência do Contrato todas as condições de habilitação e qualificação exigidas pela legislação em vigor;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7.7.</w:t>
      </w:r>
      <w:r>
        <w:rPr>
          <w:rFonts w:ascii="Verdana" w:hAnsi="Verdana"/>
          <w:sz w:val="20"/>
          <w:szCs w:val="20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7.8.</w:t>
      </w:r>
      <w:r>
        <w:rPr>
          <w:rFonts w:ascii="Verdana" w:hAnsi="Verdana"/>
          <w:sz w:val="20"/>
          <w:szCs w:val="20"/>
        </w:rPr>
        <w:t xml:space="preserve"> Permitir e facilitar aos fiscais da Prefeitura de São Gabriel da Palha a inspeção em qualquer dia e hora, prestando todos informes e esclarecimentos solicitados, relacionados com os serviços contratados;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7.9.</w:t>
      </w:r>
      <w:r>
        <w:rPr>
          <w:rFonts w:ascii="Verdana" w:hAnsi="Verdana"/>
          <w:sz w:val="20"/>
          <w:szCs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sz w:val="20"/>
          <w:szCs w:val="20"/>
        </w:rPr>
        <w:t>7.10.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Executar os serviços de acordo com a melhor técnica e nos padrões de segurança;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7.11.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Atender com plenitude as exigências contidas nas especificações do objeto do Contrato;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7.12.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 empresa vencedora será a mesma para a prestação de serviços de aferição e manutenção de tacógrafos e fornecimento de peças para os mesmos, dessa forma, a reposição das peças para o perfeito funcionamento dos instrumentos será feito no mesmo momento da prestação de serviços, proporcionando economia para o Município.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7.13.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Será feito orçamento para todas as peças/serviços que poderão vir a ser utilizados, não ficando obrigada a contratante adquirir essas peças/serviços constantes no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contrato</w:t>
      </w:r>
      <w:r>
        <w:rPr>
          <w:rFonts w:ascii="Verdana" w:hAnsi="Verdana"/>
          <w:sz w:val="20"/>
          <w:szCs w:val="20"/>
        </w:rPr>
        <w:t>, portanto será adquirido somente as peças necessárias ao perfeito funcionamento dos instrumentos de cronotacógrafos.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7.14.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 contratada irá retirar a Nota fiscal das peças utilizadas para a manutenção dos tacógrafos, e somente estas serão liquidadas e pagas por esta Prefeitura, juntamente com os serviços executados.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  E VALORES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8.1. </w:t>
      </w:r>
      <w:r>
        <w:rPr>
          <w:rFonts w:cs="Arial" w:ascii="Verdana" w:hAnsi="Verdana"/>
          <w:sz w:val="20"/>
          <w:szCs w:val="20"/>
        </w:rPr>
        <w:t>A relação dos itens necessários para contemplar a solução, bem como a estimativa da quantidade a ser contratada é apresentada na tabela a seguir:</w:t>
      </w:r>
    </w:p>
    <w:tbl>
      <w:tblPr>
        <w:tblW w:w="10200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48"/>
        <w:gridCol w:w="5673"/>
        <w:gridCol w:w="793"/>
        <w:gridCol w:w="1348"/>
        <w:gridCol w:w="1638"/>
      </w:tblGrid>
      <w:tr>
        <w:trPr>
          <w:trHeight w:val="269" w:hRule="atLeast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cs="Arial" w:ascii="Verdana" w:hAnsi="Verdana"/>
                <w:b/>
                <w:bCs/>
                <w:sz w:val="19"/>
                <w:szCs w:val="19"/>
              </w:rPr>
              <w:t>LOTE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cs="Arial" w:ascii="Verdana" w:hAnsi="Verdana"/>
                <w:b/>
                <w:bCs/>
                <w:sz w:val="19"/>
                <w:szCs w:val="19"/>
              </w:rPr>
              <w:t>MÃO DE OBRA/PEÇAS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cs="Arial" w:ascii="Verdana" w:hAnsi="Verdana"/>
                <w:b/>
                <w:bCs/>
                <w:sz w:val="19"/>
                <w:szCs w:val="19"/>
              </w:rPr>
              <w:t>QTDE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 xml:space="preserve">VALOR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19"/>
                <w:szCs w:val="19"/>
                <w:lang w:val="pt-BR" w:eastAsia="zh-CN" w:bidi="ar-SA"/>
              </w:rPr>
              <w:t>UNITÁRIO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VALOR TOTAL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1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Prestação de serviços de aferição de tacógrafo vdo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60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R$ 250,00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R$ 15.000,00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Prestação de serviços de aferição de tacógrafo seva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30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R$ 100,00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R$ 3.000,00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Prestação de serviços de manutenção de tacógrafo vdo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60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R$ 250,00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R$ 15.000,00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Prestação de serviços de manutenção de tacógrafo seva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30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R$ 100,00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R$ 3.000,00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Magnético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R$ 170,00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R$ 850,00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Agulha de velocidade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R$ 64,00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R$ 320,00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Agulha de distância e tempo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R$ 64,00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R$ 320,00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Eixo de transição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R$ 40,00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R$ 200,00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Platina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R$ 330,00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R$ 1.650,00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Agulha de tempo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R$ 50,00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R$ 250,00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Agulha de distância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R$ 64,00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R$ 320,00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Imã de relógio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R$ 40,00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R$ 200,00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Tampa conexão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R$ 40,00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R$ 200,00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Sensor de velocidade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R$ 350,00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R$ 1.750,00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Garfo (peça tacógrafo)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R$ 30,00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Lacre reparo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90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R$ 1,00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R$ 90,00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Kit conversão gaveta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70,00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350,00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Bobina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25,00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R$ 2.250,00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Guarda pó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30,00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Porca (peça tacógrafo)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Conjunto transmissão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80,00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400,00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Conjunto contato alarme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35,00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175,00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Display tacógrafo digital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300,00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1.500,00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Impressora para tacógrafo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350,00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1.750,00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Tacógrafo eletrônico 1390 – diário 24v completo e novo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1.500,00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7.500,00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Odômetro 1318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134,00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670,00</w:t>
            </w:r>
          </w:p>
        </w:tc>
      </w:tr>
      <w:tr>
        <w:trPr>
          <w:trHeight w:val="269" w:hRule="atLeast"/>
        </w:trPr>
        <w:tc>
          <w:tcPr>
            <w:tcW w:w="7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Relógio 1318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200,00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19"/>
                <w:szCs w:val="19"/>
              </w:rPr>
              <w:t>1.000,00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VALOR GLOBAL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R$ 58.095,00</w:t>
            </w:r>
          </w:p>
        </w:tc>
      </w:tr>
    </w:tbl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cs="Arial" w:ascii="Verdana" w:hAnsi="Verdana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9.2.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A estimativa de preço e elaboração de planilhas foi realizada conforme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 última contratação dos serviços.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9.1.2. </w:t>
      </w:r>
      <w:r>
        <w:rPr>
          <w:rFonts w:cs="Arial" w:ascii="Verdana" w:hAnsi="Verdana"/>
          <w:sz w:val="20"/>
          <w:szCs w:val="20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A solução a ser adotada consiste na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</w:rPr>
        <w:t>Contratação 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/>
          <w:bCs/>
          <w:sz w:val="20"/>
          <w:szCs w:val="20"/>
          <w:shd w:fill="auto" w:val="clear"/>
        </w:rPr>
        <w:t xml:space="preserve">10.2.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A Secretaria de Educação assumirá os custos com o deslocamento dos veículos até o limite de 130 quilômetros de distância da cidade de São Gabriel da Palha. Acima dessa quilometragem a empresa deverá arcar com os custos de deslocamento dos veículos.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10.3 </w:t>
      </w:r>
      <w:r>
        <w:rPr>
          <w:rFonts w:cs="Arial" w:ascii="Verdana" w:hAnsi="Verdana"/>
          <w:sz w:val="20"/>
          <w:szCs w:val="20"/>
        </w:rPr>
        <w:t>A contratação para a contratação da prestação de serviços deverá obedecer, no que couber, ao disposto na Lei n.º 14.133/2021 e suas alterações e o decreto</w:t>
      </w:r>
      <w:r>
        <w:rPr>
          <w:rFonts w:cs="Arial" w:ascii="Verdana" w:hAnsi="Verdana"/>
          <w:sz w:val="20"/>
          <w:szCs w:val="20"/>
          <w:shd w:fill="auto" w:val="clear"/>
        </w:rPr>
        <w:t xml:space="preserve"> Nº 3287/2022.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10.3. Definição e justificativa de caracterização do objeto e prazos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10.3.1. </w:t>
      </w:r>
      <w:r>
        <w:rPr>
          <w:rFonts w:cs="Arial" w:ascii="Verdana" w:hAnsi="Verdana"/>
          <w:sz w:val="20"/>
          <w:szCs w:val="20"/>
        </w:rPr>
        <w:t xml:space="preserve">A demanda a ser </w:t>
      </w:r>
      <w:r>
        <w:rPr>
          <w:rFonts w:eastAsia="Arial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contratada é 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  <w:r>
        <w:rPr>
          <w:rFonts w:cs="Arial" w:ascii="Verdana" w:hAnsi="Verdana"/>
          <w:bCs/>
          <w:sz w:val="20"/>
          <w:szCs w:val="20"/>
        </w:rPr>
        <w:t xml:space="preserve"> por </w:t>
      </w:r>
      <w:r>
        <w:rPr>
          <w:rFonts w:cs="Arial" w:ascii="Verdana" w:hAnsi="Verdana"/>
          <w:b/>
          <w:bCs/>
          <w:sz w:val="20"/>
          <w:szCs w:val="20"/>
        </w:rPr>
        <w:t xml:space="preserve">um período de </w:t>
      </w: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60</w:t>
      </w:r>
      <w:r>
        <w:rPr>
          <w:rFonts w:cs="Arial" w:ascii="Verdana" w:hAnsi="Verdana"/>
          <w:b/>
          <w:bCs/>
          <w:sz w:val="20"/>
          <w:szCs w:val="20"/>
        </w:rPr>
        <w:t xml:space="preserve"> (</w:t>
      </w: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sessenta</w:t>
      </w:r>
      <w:r>
        <w:rPr>
          <w:rFonts w:cs="Arial" w:ascii="Verdana" w:hAnsi="Verdana"/>
          <w:b/>
          <w:bCs/>
          <w:sz w:val="20"/>
          <w:szCs w:val="20"/>
        </w:rPr>
        <w:t>) meses</w:t>
      </w:r>
      <w:r>
        <w:rPr>
          <w:rFonts w:cs="Arial" w:ascii="Verdana" w:hAnsi="Verdana"/>
          <w:bCs/>
          <w:sz w:val="20"/>
          <w:szCs w:val="20"/>
        </w:rPr>
        <w:t>, conforme quantidades e especificações constantes definidas no Projeto Básico.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ESTIMATIVA DO VALOR DA CONTRATAÇÃO: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11.1 </w:t>
      </w:r>
      <w:r>
        <w:rPr>
          <w:rFonts w:cs="Arial" w:ascii="Verdana" w:hAnsi="Verdana"/>
          <w:sz w:val="20"/>
          <w:szCs w:val="20"/>
          <w:shd w:fill="auto" w:val="clear"/>
        </w:rPr>
        <w:t xml:space="preserve">O valor global estimado da contratação é de R$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58.095,00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, </w:t>
      </w:r>
      <w:r>
        <w:rPr>
          <w:rFonts w:cs="Arial" w:ascii="Verdana" w:hAnsi="Verdana"/>
          <w:sz w:val="20"/>
          <w:szCs w:val="20"/>
          <w:shd w:fill="auto" w:val="clear"/>
        </w:rPr>
        <w:t xml:space="preserve">constante no item 8.1 deste Estudo Técnico Preliminar.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A</w:t>
      </w:r>
      <w:r>
        <w:rPr>
          <w:rFonts w:cs="Arial" w:ascii="Verdana" w:hAnsi="Verdana"/>
          <w:sz w:val="20"/>
          <w:szCs w:val="20"/>
          <w:shd w:fill="auto" w:val="clear"/>
        </w:rPr>
        <w:t xml:space="preserve"> presente estimativa do valor da contratação foi realizada através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da última contratação dos serviços.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O objeto da contratação será composto por 2 itens, de preço total orçado pela administração no valor</w:t>
      </w:r>
      <w:r>
        <w:rPr>
          <w:rFonts w:eastAsia="Arial" w:cs="Arial" w:ascii="Verdana" w:hAnsi="Verdana"/>
          <w:b/>
          <w:sz w:val="20"/>
          <w:szCs w:val="20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R$ </w:t>
      </w:r>
      <w:r>
        <w:rPr>
          <w:rFonts w:eastAsia="Times New Roman" w:cs="Times New Roman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58.095,00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Para fins de classificação, será considerado o </w:t>
      </w:r>
      <w:r>
        <w:rPr>
          <w:rFonts w:eastAsia="Arial" w:cs="Arial" w:ascii="Verdana" w:hAnsi="Verdana"/>
          <w:b/>
          <w:bCs w:val="false"/>
          <w:sz w:val="20"/>
          <w:szCs w:val="20"/>
          <w:shd w:fill="auto" w:val="clear"/>
        </w:rPr>
        <w:t xml:space="preserve">menor preço por </w:t>
      </w:r>
      <w:r>
        <w:rPr>
          <w:rFonts w:eastAsia="Arial" w:cs="Arial" w:ascii="Verdana" w:hAnsi="Verdana"/>
          <w:b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lote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12.2.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A contratação por lote</w:t>
      </w:r>
      <w:r>
        <w:rPr>
          <w:rFonts w:eastAsia="Arial" w:cs="Times New Roman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  <w:shd w:fill="auto" w:val="clear"/>
        </w:rPr>
        <w:t>se torna economicamente viável que a prestação de serviços e reposição de peças sejam efetuadas pela mesma empresa, visto que, a administração terá economia de combustível, diárias e desgaste dos veículos, sendo assim mais vantajoso para o município que os serviços sejam executados de uma só vez;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14.1</w:t>
      </w:r>
      <w:r>
        <w:rPr>
          <w:rFonts w:cs="Arial" w:ascii="Verdana" w:hAnsi="Verdana"/>
          <w:sz w:val="20"/>
          <w:szCs w:val="20"/>
        </w:rPr>
        <w:t xml:space="preserve"> Com a aquisição pretendida, buscaremos suprir as necessidades da Secretaria Municipal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Educação e atender de forma mais adequada os estudantes da Rede Municipal e Estadual de Ensino.</w:t>
      </w:r>
      <w:r>
        <w:rPr>
          <w:rFonts w:cs="Arial" w:ascii="Verdana" w:hAnsi="Verdana"/>
          <w:sz w:val="20"/>
          <w:szCs w:val="20"/>
        </w:rPr>
        <w:t xml:space="preserve"> O quantitativo será suficiente para suprir a demanda desta Secretaria.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15.1 Recursos materiais e humanos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15.1.1.</w:t>
      </w:r>
      <w:r>
        <w:rPr>
          <w:rFonts w:cs="Arial" w:ascii="Verdana" w:hAnsi="Verdana"/>
          <w:sz w:val="20"/>
          <w:szCs w:val="20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15.2.</w:t>
      </w:r>
      <w:r>
        <w:rPr>
          <w:rFonts w:cs="Arial" w:ascii="Verdana" w:hAnsi="Verdana"/>
          <w:sz w:val="20"/>
          <w:szCs w:val="20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>
        <w:rPr>
          <w:rFonts w:cs="Times New Roman" w:ascii="Verdana" w:hAnsi="Verdana"/>
          <w:sz w:val="20"/>
          <w:szCs w:val="20"/>
        </w:rPr>
        <w:t>(Técnicos e Administrativos)</w:t>
      </w:r>
      <w:r>
        <w:rPr>
          <w:rFonts w:cs="Arial" w:ascii="Verdana" w:hAnsi="Verdana"/>
          <w:sz w:val="20"/>
          <w:szCs w:val="20"/>
        </w:rPr>
        <w:t>. Deveram ser nomeados quantidade de fiscais suficientes para um efetivo acompanhamento da execução do contrato, devendo ter Fiscal Técnico e Fiscal Administrativo (contrato).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15.3 Descontinuidades do Fornecimento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15.3.1. </w:t>
      </w:r>
      <w:r>
        <w:rPr>
          <w:rFonts w:cs="Arial" w:ascii="Verdana" w:hAnsi="Verdana"/>
          <w:sz w:val="20"/>
          <w:szCs w:val="20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Não haverá danos ao meio ambiente uma vez que os serviços não gerará tal problema</w:t>
      </w:r>
      <w:r>
        <w:rPr>
          <w:rFonts w:cs="Arial" w:ascii="Verdana" w:hAnsi="Verdana"/>
          <w:b/>
          <w:sz w:val="20"/>
          <w:szCs w:val="20"/>
        </w:rPr>
        <w:t>.</w:t>
      </w:r>
      <w:r>
        <w:rPr>
          <w:rFonts w:cs="Arial" w:ascii="Verdana" w:hAnsi="Verdana"/>
          <w:sz w:val="20"/>
          <w:szCs w:val="20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A equipe de planejamento deste ETP e de acordo com a autoridade deste requerente, declara viável esta contratação.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</w:t>
      </w:r>
      <w:r>
        <w:rPr>
          <w:rFonts w:cs="Times New Roman" w:ascii="Verdana" w:hAnsi="Verdana"/>
          <w:b w:val="false"/>
          <w:bCs w:val="false"/>
          <w:sz w:val="20"/>
          <w:szCs w:val="20"/>
        </w:rPr>
        <w:t xml:space="preserve"> Cronotacógrafo é um instrumento de uso obrigatório pelo Código de Trânsito Brasileiro – CTB para veículos de transporte e de condução escolar, transporte de passageiros com mais de dez lugares e os de carga com peso bruto total superior a 4.536 toneladas;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Esse instrumento tem o objetivo de indicar e registrar a velocidade e a distância percorrida no tempo de direção no veículo em que está instalado, permitindo determinar o tempo de direção e de parada dos condutores, e, além disso, permite a reconstituição e a elaboração de laudos técnicos em caso de acidente com produção de provas aceitas legalmente;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04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abril</w:t>
      </w:r>
      <w:r>
        <w:rPr>
          <w:rFonts w:cs="Arial" w:ascii="Verdana" w:hAnsi="Verdana"/>
          <w:sz w:val="20"/>
          <w:szCs w:val="20"/>
        </w:rPr>
        <w:t xml:space="preserve"> de 2025.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RESPONSÁVEIS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15.1. Elaborado por: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Ana Paula dos Santos Dumer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Mat. nº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6462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15.2. Autorizado por: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JANE LISLIE MARTINELLI DOS SANTOS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Secretária Municipal de Educação Interina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Decreto Nº 4.675/2025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227" w:bottom="786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Courier New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Educação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Educação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10"/>
  <w:displayBackgroundShape/>
  <w:embedSystemFonts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Times New Roman" w:hAnsi="Times New Roman" w:cs="Courier New"/>
      <w:b/>
      <w:bCs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InternetLink">
    <w:name w:val="Internet Link"/>
    <w:qFormat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basedOn w:val="DefaultParagraphFont"/>
    <w:uiPriority w:val="99"/>
    <w:semiHidden/>
    <w:unhideWhenUsed/>
    <w:qFormat/>
    <w:rsid w:val="00cb796f"/>
    <w:rPr>
      <w:vertAlign w:val="superscri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rsid w:val="00832132"/>
    <w:pPr>
      <w:spacing w:before="0" w:after="120"/>
    </w:pPr>
    <w:rPr/>
  </w:style>
  <w:style w:type="paragraph" w:styleId="List">
    <w:name w:val="List"/>
    <w:basedOn w:val="BodyText"/>
    <w:rsid w:val="00832132"/>
    <w:pPr/>
    <w:rPr>
      <w:rFonts w:cs="Lucida Sans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3" w:customStyle="1">
    <w:name w:val="Título3"/>
    <w:basedOn w:val="Normal"/>
    <w:next w:val="BodyText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Header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itle">
    <w:name w:val="Title"/>
    <w:basedOn w:val="Normal"/>
    <w:next w:val="BodyText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Application>LibreOffice/24.2.6.2$Windows_X86_64 LibreOffice_project/ef66aa7e36a1bb8e65bfbc63aba53045a14d0871</Application>
  <AppVersion>15.0000</AppVersion>
  <Pages>5</Pages>
  <Words>2047</Words>
  <Characters>11313</Characters>
  <CharactersWithSpaces>13168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2025-08-26T13:27:36Z</cp:lastPrinted>
  <dcterms:modified xsi:type="dcterms:W3CDTF">2025-08-26T13:27:51Z</dcterms:modified>
  <cp:revision>120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